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EMERGENZA COVID – 19</w:t>
      </w:r>
    </w:p>
    <w:p>
      <w:pPr>
        <w:pStyle w:val="Normal"/>
        <w:pBdr/>
        <w:shd w:val="clear" w:color="auto" w:fill="FFFFFF"/>
        <w:ind w:left="250" w:right="284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shd w:val="clear" w:color="auto" w:fill="FFFFFF"/>
        <w:ind w:left="250" w:right="284" w:hang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DOMANDA PER L'EROGAZIONE DI BUONI SPESA PER L’ACQUISTO DI PRODOTTI ALIMENTARI IN FAVORE DEI CITTADINI COLPITI DALLA SITUAZIONE ECONOMICA DETERMINATASI PER EFFETTO DELL’EMERGENZA COVID-19.</w:t>
      </w:r>
    </w:p>
    <w:p>
      <w:pPr>
        <w:pStyle w:val="Normal"/>
        <w:pBdr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</w:r>
    </w:p>
    <w:p>
      <w:pPr>
        <w:pStyle w:val="Normal"/>
        <w:pBdr/>
        <w:jc w:val="right"/>
        <w:rPr>
          <w:color w:val="000000"/>
          <w:sz w:val="24"/>
          <w:szCs w:val="24"/>
          <w:u w:val="single"/>
        </w:rPr>
      </w:pPr>
      <w:bookmarkStart w:id="2" w:name="_gjdgxs"/>
      <w:bookmarkEnd w:id="2"/>
      <w:r>
        <w:rPr>
          <w:b/>
          <w:color w:val="000000"/>
          <w:sz w:val="24"/>
          <w:szCs w:val="24"/>
          <w:u w:val="single"/>
        </w:rPr>
        <w:t>Al Comune di Acquaviva Picena</w:t>
      </w:r>
    </w:p>
    <w:p>
      <w:pPr>
        <w:pStyle w:val="Normal"/>
        <w:pBdr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_______________________________________ nato/a a ________________________ il _____________________________ residente a ____________________________________________ in via ___________________________________________________ n. ______ cap. ______________ codice fiscale _________________________________________________________________________ </w:t>
      </w:r>
    </w:p>
    <w:p>
      <w:pPr>
        <w:pStyle w:val="Normal"/>
        <w:widowControl w:val="false"/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 ______________________________ PEC ____________________________________________ telefono linea fissa o cellulare ____________________________________________________________</w:t>
      </w:r>
    </w:p>
    <w:p>
      <w:pPr>
        <w:pStyle w:val="Normal"/>
        <w:widowControl w:val="false"/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identificato dal documento </w:t>
      </w:r>
      <w:r>
        <w:rPr>
          <w:rFonts w:eastAsia="Wingdings" w:cs="Wingdings" w:ascii="Wingdings" w:hAnsi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carta di identità </w:t>
      </w:r>
      <w:r>
        <w:rPr>
          <w:rFonts w:eastAsia="Wingdings" w:cs="Wingdings" w:ascii="Wingdings" w:hAnsi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patente di guida </w:t>
      </w:r>
      <w:r>
        <w:rPr>
          <w:rFonts w:eastAsia="Wingdings" w:cs="Wingdings" w:ascii="Wingdings" w:hAnsi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passaporto </w:t>
      </w:r>
      <w:r>
        <w:rPr>
          <w:rFonts w:eastAsia="Wingdings" w:cs="Wingdings" w:ascii="Wingdings" w:hAnsi="Wingdings"/>
          <w:color w:val="000000"/>
          <w:sz w:val="24"/>
          <w:szCs w:val="24"/>
        </w:rPr>
        <w:t>◻</w:t>
      </w:r>
      <w:r>
        <w:rPr>
          <w:color w:val="000000"/>
          <w:sz w:val="24"/>
          <w:szCs w:val="24"/>
        </w:rPr>
        <w:t xml:space="preserve"> altro</w:t>
      </w:r>
      <w:r>
        <w:rPr>
          <w:rStyle w:val="Richiamoallanotaapidipagina"/>
          <w:color w:val="000000"/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>______________</w:t>
      </w:r>
    </w:p>
    <w:p>
      <w:pPr>
        <w:pStyle w:val="Normal"/>
        <w:widowControl w:val="false"/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n. ___________________________________ rilasciato da: ____________________________________</w:t>
      </w:r>
    </w:p>
    <w:p>
      <w:pPr>
        <w:pStyle w:val="Normal"/>
        <w:widowControl w:val="false"/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consapevole del fatto che, in caso di dichiarazioni mendaci, saranno applicate nei propri riguardi, ai sensi dell’articolo 76 del D.P.R. 28.12.2000 n. 445, le sanzioni previste dal vigente Codice Penale e dalle leggi speciali in materia di falsità negli atti,</w:t>
      </w:r>
    </w:p>
    <w:p>
      <w:pPr>
        <w:pStyle w:val="Normal"/>
        <w:widowControl w:val="false"/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pBdr/>
        <w:spacing w:lineRule="auto" w:line="36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CHIEDE</w:t>
      </w:r>
    </w:p>
    <w:p>
      <w:pPr>
        <w:pStyle w:val="Normal"/>
        <w:pBdr/>
        <w:spacing w:lineRule="auto" w:line="36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pBdr/>
        <w:spacing w:lineRule="auto" w:line="36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  <w:t xml:space="preserve">di accedere all’assegnazione del bonus alimentare a favore di persone e/o famiglie in condizioni di disagio economico e sociale causato dalla situazione emergenziale in atto, provocata dalla diffusione di agenti virali trasmissibili (Covid-19).  </w:t>
      </w:r>
    </w:p>
    <w:p>
      <w:pPr>
        <w:pStyle w:val="Normal"/>
        <w:pBdr/>
        <w:spacing w:lineRule="auto" w:line="36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  <w:t xml:space="preserve"> </w:t>
      </w: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  <w:tab/>
        <w:tab/>
        <w:tab/>
        <w:tab/>
        <w:tab/>
        <w:tab/>
      </w:r>
    </w:p>
    <w:p>
      <w:pPr>
        <w:pStyle w:val="Normal"/>
        <w:pBdr/>
        <w:spacing w:lineRule="auto" w:line="360"/>
        <w:jc w:val="center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color w:val="000000"/>
          <w:sz w:val="24"/>
          <w:szCs w:val="24"/>
        </w:rPr>
        <w:t>DICHIARA</w:t>
      </w:r>
    </w:p>
    <w:p>
      <w:pPr>
        <w:pStyle w:val="Normal"/>
        <w:pBdr/>
        <w:spacing w:lineRule="auto" w:line="36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  <w:t>di aver preso visione dell’Avviso Pubblico;</w:t>
      </w:r>
    </w:p>
    <w:p>
      <w:pPr>
        <w:pStyle w:val="Normal"/>
        <w:numPr>
          <w:ilvl w:val="0"/>
          <w:numId w:val="1"/>
        </w:numPr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  <w:t>di essere a conoscenza che il Comune verificherà la veridicità delle dichiarazioni sostitutive di atto notorio anche servendosi della collaborazione degli istituti bancari e delle Forze dell'ordine;</w:t>
      </w:r>
    </w:p>
    <w:p>
      <w:pPr>
        <w:pStyle w:val="Normal"/>
        <w:numPr>
          <w:ilvl w:val="0"/>
          <w:numId w:val="1"/>
        </w:numPr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  <w:t>che qualora risultasse beneficiario del buono lo stesso dovrà essere utilizzato negli esercizi presenti nell’elenco pubblicato dal Comune, esprimendo la preferenza;</w:t>
      </w:r>
    </w:p>
    <w:p>
      <w:pPr>
        <w:pStyle w:val="Normal"/>
        <w:numPr>
          <w:ilvl w:val="0"/>
          <w:numId w:val="1"/>
        </w:numPr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  <w:t>di autorizzare la comunicazione del proprio nominativo e dei buoni spesa associati agli esercizi commerciali prescelti per l’utilizzo dei buoni spesa;</w:t>
      </w:r>
    </w:p>
    <w:p>
      <w:pPr>
        <w:pStyle w:val="Normal"/>
        <w:numPr>
          <w:ilvl w:val="0"/>
          <w:numId w:val="1"/>
        </w:numPr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  <w:t>che il proprio nucleo familiare è così composto: (</w:t>
      </w:r>
      <w:r>
        <w:rPr>
          <w:rFonts w:eastAsia="Liberation Serif" w:cs="Liberation Serif" w:ascii="Liberation Serif" w:hAnsi="Liberation Serif"/>
          <w:b/>
          <w:bCs/>
          <w:color w:val="000000"/>
          <w:sz w:val="24"/>
          <w:szCs w:val="24"/>
          <w:u w:val="single"/>
        </w:rPr>
        <w:t>situazione alla data del 29/03/2020</w:t>
      </w: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  <w:t>)</w:t>
      </w:r>
    </w:p>
    <w:tbl>
      <w:tblPr>
        <w:tblStyle w:val="a"/>
        <w:tblW w:w="666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7"/>
        <w:gridCol w:w="2203"/>
        <w:gridCol w:w="1958"/>
        <w:gridCol w:w="1904"/>
      </w:tblGrid>
      <w:tr>
        <w:trPr>
          <w:trHeight w:val="40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b/>
                <w:color w:val="000000"/>
                <w:sz w:val="24"/>
                <w:szCs w:val="24"/>
              </w:rPr>
              <w:t>Grado parentela</w:t>
            </w:r>
          </w:p>
        </w:tc>
      </w:tr>
      <w:tr>
        <w:trPr>
          <w:trHeight w:val="424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40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40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40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424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</w:tr>
      <w:tr>
        <w:trPr>
          <w:trHeight w:val="409" w:hRule="atLeast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</w:pPr>
            <w:r>
              <w:rPr>
                <w:rFonts w:eastAsia="Liberation Serif" w:cs="Liberation Serif" w:ascii="Liberation Serif" w:hAnsi="Liberation Serif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pBdr/>
        <w:spacing w:lineRule="auto" w:line="360"/>
        <w:ind w:left="360" w:hanging="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pBdr/>
        <w:spacing w:lineRule="auto" w:line="360"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pBdr/>
        <w:spacing w:lineRule="auto" w:line="360"/>
        <w:jc w:val="center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color w:val="000000"/>
          <w:sz w:val="24"/>
          <w:szCs w:val="24"/>
        </w:rPr>
        <w:t>DICHIARA INOLTRE</w:t>
      </w:r>
    </w:p>
    <w:p>
      <w:pPr>
        <w:pStyle w:val="Normal"/>
        <w:numPr>
          <w:ilvl w:val="0"/>
          <w:numId w:val="8"/>
        </w:numPr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  <w:t>che le risposte indicate nel seguente questionario corrispondono all’effettiva situazione del proprio nucleo familiare;</w:t>
      </w:r>
    </w:p>
    <w:p>
      <w:pPr>
        <w:pStyle w:val="Normal"/>
        <w:numPr>
          <w:ilvl w:val="0"/>
          <w:numId w:val="8"/>
        </w:numPr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  <w:t>che il proprio nucleo familiare ha un r</w:t>
      </w:r>
      <w:r>
        <w:rPr>
          <w:color w:val="000000"/>
          <w:sz w:val="24"/>
          <w:szCs w:val="24"/>
        </w:rPr>
        <w:t xml:space="preserve">eddito netto complessivo, </w:t>
      </w:r>
      <w:r>
        <w:rPr>
          <w:b/>
          <w:bCs/>
          <w:color w:val="000000"/>
          <w:sz w:val="24"/>
          <w:szCs w:val="24"/>
          <w:u w:val="single"/>
        </w:rPr>
        <w:t>relativo al mese di marzo 2020</w:t>
      </w:r>
      <w:r>
        <w:rPr>
          <w:color w:val="000000"/>
          <w:sz w:val="24"/>
          <w:szCs w:val="24"/>
        </w:rPr>
        <w:t xml:space="preserve">, inferiore alle fasce indicate nella tabella sottostante </w:t>
      </w:r>
      <w:r>
        <w:rPr>
          <w:i/>
          <w:color w:val="000000"/>
          <w:sz w:val="24"/>
          <w:szCs w:val="24"/>
        </w:rPr>
        <w:t>(vedi alla prima domanda del questionario di valutazione la definizione di reddito)</w:t>
      </w:r>
      <w:r>
        <w:rPr>
          <w:color w:val="000000"/>
          <w:sz w:val="24"/>
          <w:szCs w:val="24"/>
        </w:rPr>
        <w:t>:</w:t>
      </w:r>
    </w:p>
    <w:p>
      <w:pPr>
        <w:pStyle w:val="Normal"/>
        <w:pBdr/>
        <w:spacing w:lineRule="auto" w:line="360"/>
        <w:ind w:left="3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Style w:val="a0"/>
        <w:tblW w:w="698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96"/>
        <w:gridCol w:w="1395"/>
        <w:gridCol w:w="1398"/>
        <w:gridCol w:w="1397"/>
        <w:gridCol w:w="1397"/>
      </w:tblGrid>
      <w:tr>
        <w:trPr/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 persona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persone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 persone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persone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5+ persone</w:t>
            </w:r>
          </w:p>
        </w:tc>
      </w:tr>
      <w:tr>
        <w:trPr/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€ </w:t>
            </w:r>
            <w:r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€ </w:t>
            </w:r>
            <w:r>
              <w:rPr>
                <w:color w:val="000000"/>
                <w:sz w:val="24"/>
                <w:szCs w:val="24"/>
              </w:rPr>
              <w:t>1.300,00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€ </w:t>
            </w:r>
            <w:r>
              <w:rPr>
                <w:color w:val="000000"/>
                <w:sz w:val="24"/>
                <w:szCs w:val="24"/>
              </w:rPr>
              <w:t>1.500,00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€ </w:t>
            </w:r>
            <w:r>
              <w:rPr>
                <w:color w:val="000000"/>
                <w:sz w:val="24"/>
                <w:szCs w:val="24"/>
              </w:rPr>
              <w:t>1.700,00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/>
              <w:spacing w:lineRule="auto" w:line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€ </w:t>
            </w:r>
            <w:r>
              <w:rPr>
                <w:color w:val="000000"/>
                <w:sz w:val="24"/>
                <w:szCs w:val="24"/>
              </w:rPr>
              <w:t>1.800,00</w:t>
            </w:r>
          </w:p>
        </w:tc>
      </w:tr>
    </w:tbl>
    <w:p>
      <w:pPr>
        <w:pStyle w:val="Normal"/>
        <w:pBdr/>
        <w:spacing w:lineRule="auto" w:line="360"/>
        <w:ind w:left="36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8"/>
        </w:numPr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il capitale del nucleo familiare, composto da conti correnti, azioni, titoli, quote di società intestate a familiari (per la parte di quota posseduta), depositi o altri strumenti finanziari è complessivamente inferiore a € 5.000,00;</w:t>
      </w:r>
    </w:p>
    <w:p>
      <w:pPr>
        <w:pStyle w:val="Normal"/>
        <w:numPr>
          <w:ilvl w:val="0"/>
          <w:numId w:val="8"/>
        </w:numPr>
        <w:pBdr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nell'impossibilità di poter provvedere adeguatamente all'acquisto dei beni alimentari e di prima necessità per il proprio nucleo familiare;</w:t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suo nucleo familiare ha subito una riduzione del reddito percepito a causa dell'emergenza in corso?</w:t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Sì</w:t>
      </w:r>
    </w:p>
    <w:p>
      <w:pPr>
        <w:pStyle w:val="Normal"/>
        <w:numPr>
          <w:ilvl w:val="0"/>
          <w:numId w:val="3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Qual è l'ultimo reddito percepito dal suo nucleo familiare?</w:t>
      </w:r>
    </w:p>
    <w:p>
      <w:pPr>
        <w:pStyle w:val="Normal"/>
        <w:pBdr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4"/>
          <w:szCs w:val="24"/>
        </w:rPr>
        <w:t xml:space="preserve">Esempio: </w:t>
      </w:r>
      <w:r>
        <w:rPr>
          <w:b/>
          <w:bCs/>
          <w:i/>
          <w:color w:val="000000"/>
          <w:sz w:val="24"/>
          <w:szCs w:val="24"/>
          <w:u w:val="single"/>
        </w:rPr>
        <w:t>fare riferimento a marzo 2020</w:t>
      </w: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2"/>
          <w:szCs w:val="22"/>
        </w:rPr>
        <w:t xml:space="preserve">(Per reddito si intende l'utile che deriva dall'esercizio di un mestiere/professione. Vanno incluse anche le somme derivanti da pensioni di vecchiaia/anzianità - anche anticipate - e dai Tirocini per l'Inclusione Sociale in favore dei beneficiari del PON. </w:t>
      </w:r>
      <w:r>
        <w:rPr>
          <w:b/>
          <w:bCs/>
          <w:i/>
          <w:color w:val="000000"/>
          <w:sz w:val="24"/>
          <w:szCs w:val="24"/>
          <w:u w:val="single"/>
        </w:rPr>
        <w:t>Non vanno conteggiate</w:t>
      </w:r>
      <w:r>
        <w:rPr>
          <w:i/>
          <w:color w:val="000000"/>
          <w:sz w:val="22"/>
          <w:szCs w:val="22"/>
        </w:rPr>
        <w:t xml:space="preserve"> le pensioni di invalidità, le pensioni sociali, il Reddito di Cittadinanza, il Reddito di Emergenza, Il Reddito di Inclusione, la disoccupazione, la cassa integrazione e le somme percepite per lo svolgimento di Tirocini per l'Inclusione Sociale in favore dei beneficiari del POR.)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Nucleo familiare non percettore di reddito o che lo ha perso per effetto dei provvedimenti restrittivi dettati dall’emergenza sanitaria</w:t>
      </w:r>
    </w:p>
    <w:p>
      <w:pPr>
        <w:pStyle w:val="Normal"/>
        <w:numPr>
          <w:ilvl w:val="0"/>
          <w:numId w:val="2"/>
        </w:numPr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Nucleo familiare con reddito netto inferiore alle fasce di esclusione</w:t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(inclusi nuclei monoreddito o con più redditi che abbiano o meno subito una riduzione del compenso percepito a causa dell'emergenza in corso e in cui siano o meno presenti una o più partite IVA riconducibili a codice ateco esclusi dalle attività per decreto)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suo nucleo familiare era già in carico ai Servizi Sociali alla data dell'8 marzo 2020 per situazioni di criticità, fragilità, multiproblematicità?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Sì</w:t>
      </w:r>
    </w:p>
    <w:p>
      <w:pPr>
        <w:pStyle w:val="Normal"/>
        <w:numPr>
          <w:ilvl w:val="0"/>
          <w:numId w:val="3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 quante persone è composto il suo nucleo familiare (incluso lei)?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3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persona</w:t>
      </w:r>
    </w:p>
    <w:p>
      <w:pPr>
        <w:pStyle w:val="Normal"/>
        <w:numPr>
          <w:ilvl w:val="0"/>
          <w:numId w:val="3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persone</w:t>
      </w:r>
    </w:p>
    <w:p>
      <w:pPr>
        <w:pStyle w:val="Normal"/>
        <w:numPr>
          <w:ilvl w:val="0"/>
          <w:numId w:val="3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persone</w:t>
      </w:r>
    </w:p>
    <w:p>
      <w:pPr>
        <w:pStyle w:val="Normal"/>
        <w:numPr>
          <w:ilvl w:val="0"/>
          <w:numId w:val="3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persone</w:t>
      </w:r>
    </w:p>
    <w:p>
      <w:pPr>
        <w:pStyle w:val="Normal"/>
        <w:numPr>
          <w:ilvl w:val="0"/>
          <w:numId w:val="3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persone</w:t>
      </w:r>
    </w:p>
    <w:p>
      <w:pPr>
        <w:pStyle w:val="Normal"/>
        <w:numPr>
          <w:ilvl w:val="0"/>
          <w:numId w:val="3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 persone</w:t>
      </w:r>
    </w:p>
    <w:p>
      <w:pPr>
        <w:pStyle w:val="Normal"/>
        <w:numPr>
          <w:ilvl w:val="0"/>
          <w:numId w:val="3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 o più persone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Quanti figli a carico sono presenti nel nucleo?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4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Nessuno</w:t>
      </w:r>
    </w:p>
    <w:p>
      <w:pPr>
        <w:pStyle w:val="Normal"/>
        <w:numPr>
          <w:ilvl w:val="0"/>
          <w:numId w:val="4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figlio a carico</w:t>
      </w:r>
    </w:p>
    <w:p>
      <w:pPr>
        <w:pStyle w:val="Normal"/>
        <w:numPr>
          <w:ilvl w:val="0"/>
          <w:numId w:val="4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figli a carico</w:t>
      </w:r>
    </w:p>
    <w:p>
      <w:pPr>
        <w:pStyle w:val="Normal"/>
        <w:numPr>
          <w:ilvl w:val="0"/>
          <w:numId w:val="4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figli a carico</w:t>
      </w:r>
    </w:p>
    <w:p>
      <w:pPr>
        <w:pStyle w:val="Normal"/>
        <w:numPr>
          <w:ilvl w:val="0"/>
          <w:numId w:val="4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 o più figli a carico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suo è un nucleo monogenitoriale?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4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</w:p>
    <w:p>
      <w:pPr>
        <w:pStyle w:val="Normal"/>
        <w:numPr>
          <w:ilvl w:val="0"/>
          <w:numId w:val="4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Sì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 sono bambini fino a 6 anni nel nucleo familiare?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5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</w:p>
    <w:p>
      <w:pPr>
        <w:pStyle w:val="Normal"/>
        <w:numPr>
          <w:ilvl w:val="0"/>
          <w:numId w:val="5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bambino fino a 6 anni</w:t>
      </w:r>
    </w:p>
    <w:p>
      <w:pPr>
        <w:pStyle w:val="Normal"/>
        <w:numPr>
          <w:ilvl w:val="0"/>
          <w:numId w:val="5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o più bambini fino a 6 anni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 sono persone oltre i 65 anni nel nucleo familiare?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5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</w:p>
    <w:p>
      <w:pPr>
        <w:pStyle w:val="Normal"/>
        <w:numPr>
          <w:ilvl w:val="0"/>
          <w:numId w:val="5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persona oltre i 65 anni</w:t>
      </w:r>
    </w:p>
    <w:p>
      <w:pPr>
        <w:pStyle w:val="Normal"/>
        <w:numPr>
          <w:ilvl w:val="0"/>
          <w:numId w:val="5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o più persone oltre i 65 anni 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 sono persone affette da patologie croniche nel nucleo familiare?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5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</w:p>
    <w:p>
      <w:pPr>
        <w:pStyle w:val="Normal"/>
        <w:numPr>
          <w:ilvl w:val="0"/>
          <w:numId w:val="5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Sì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 sono disabili nel nucleo familiare?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5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</w:p>
    <w:p>
      <w:pPr>
        <w:pStyle w:val="Normal"/>
        <w:numPr>
          <w:ilvl w:val="0"/>
          <w:numId w:val="5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disabile</w:t>
      </w:r>
    </w:p>
    <w:p>
      <w:pPr>
        <w:pStyle w:val="Normal"/>
        <w:numPr>
          <w:ilvl w:val="0"/>
          <w:numId w:val="5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 o più disabili 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 suo nucleo familiare vive in una casa:</w:t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7"/>
        </w:numPr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comodato</w:t>
      </w:r>
    </w:p>
    <w:p>
      <w:pPr>
        <w:pStyle w:val="Normal"/>
        <w:numPr>
          <w:ilvl w:val="0"/>
          <w:numId w:val="7"/>
        </w:numPr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proprietà</w:t>
      </w:r>
    </w:p>
    <w:p>
      <w:pPr>
        <w:pStyle w:val="Normal"/>
        <w:numPr>
          <w:ilvl w:val="0"/>
          <w:numId w:val="7"/>
        </w:numPr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Derivante dalle politiche di edilizia agevolata o sovvenzionata</w:t>
      </w:r>
    </w:p>
    <w:p>
      <w:pPr>
        <w:pStyle w:val="Normal"/>
        <w:numPr>
          <w:ilvl w:val="0"/>
          <w:numId w:val="7"/>
        </w:numPr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la quale sta pagando un mutuo</w:t>
      </w:r>
    </w:p>
    <w:p>
      <w:pPr>
        <w:pStyle w:val="Normal"/>
        <w:numPr>
          <w:ilvl w:val="0"/>
          <w:numId w:val="7"/>
        </w:numPr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affitto</w:t>
      </w:r>
    </w:p>
    <w:p>
      <w:pPr>
        <w:pStyle w:val="Normal"/>
        <w:numPr>
          <w:ilvl w:val="0"/>
          <w:numId w:val="7"/>
        </w:numPr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Senza fissa dimora</w:t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  <w:t>Il suo nucleo è già percettore di altre forme di sostegno complessivamente superiori a € 493/mese?</w:t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Vanno conteggiate le pensioni di invalidità, le pensioni sociali, il Reddito di Cittadinanza, il Reddito di Emergenza, Il Reddito di Inclusione, la disoccupazione, la cassa integrazione e le somme percepite per lo svolgimento di Tirocini per l'Inclusione Sociale in favore dei beneficiari del POR</w:t>
      </w:r>
      <w:r>
        <w:rPr>
          <w:b/>
          <w:color w:val="000000"/>
          <w:sz w:val="24"/>
          <w:szCs w:val="24"/>
        </w:rPr>
        <w:t>)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6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Sì</w:t>
      </w:r>
    </w:p>
    <w:p>
      <w:pPr>
        <w:pStyle w:val="Normal"/>
        <w:numPr>
          <w:ilvl w:val="0"/>
          <w:numId w:val="6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</w:t>
      </w:r>
    </w:p>
    <w:p>
      <w:pPr>
        <w:pStyle w:val="Normal"/>
        <w:pBdr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Qual è la motivazione della sua richiesta?</w:t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6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Situazione preesistente</w:t>
      </w:r>
    </w:p>
    <w:p>
      <w:pPr>
        <w:pStyle w:val="Normal"/>
        <w:numPr>
          <w:ilvl w:val="0"/>
          <w:numId w:val="6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(Temporanea) Chiusura della propria attività</w:t>
      </w:r>
    </w:p>
    <w:p>
      <w:pPr>
        <w:pStyle w:val="Normal"/>
        <w:numPr>
          <w:ilvl w:val="0"/>
          <w:numId w:val="6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Riduzione del volume di affari</w:t>
      </w:r>
    </w:p>
    <w:p>
      <w:pPr>
        <w:pStyle w:val="Normal"/>
        <w:numPr>
          <w:ilvl w:val="0"/>
          <w:numId w:val="6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Riduzione del compenso percepito</w:t>
      </w:r>
    </w:p>
    <w:p>
      <w:pPr>
        <w:pStyle w:val="Normal"/>
        <w:numPr>
          <w:ilvl w:val="0"/>
          <w:numId w:val="6"/>
        </w:numPr>
        <w:pBdr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Licenziamento / Fine o sospensione del rapporto di lavoro</w:t>
      </w:r>
    </w:p>
    <w:p>
      <w:pPr>
        <w:pStyle w:val="Normal"/>
        <w:pBdr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pBdr/>
        <w:jc w:val="both"/>
        <w:rPr>
          <w:rFonts w:ascii="Liberation Serif" w:hAnsi="Liberation Serif" w:eastAsia="Liberation Serif" w:cs="Liberation Serif"/>
          <w:color w:val="000000"/>
          <w:sz w:val="24"/>
          <w:szCs w:val="24"/>
        </w:rPr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</w:r>
    </w:p>
    <w:p>
      <w:pPr>
        <w:pStyle w:val="Normal"/>
        <w:pBdr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Informativa sul trattamento dei dati personali REG. UE n. 679/2016</w:t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Comune di Acquaviva Picena, in qualità di titolare del trattamento, tratterà i dati personali conferiti con modalità prevalentemente informatiche e telematiche, per l'esecuzione dei propri compiti di interesse pubblico o comunque connessi all'esercizio dei propri pubblici poteri, ivi incluse le finalità di archiviazione, di ricerca storica e di analisi per scopi statistici. I dati saranno trattati per tutto il tempo necessario alla conclusione del procedimento-processo o allo svolgimento del servizio-attività richiesta e, successivamente alla conclusione del procedimento-processo o cessazione del servizio-attività, i dati saranno conservati in conformità alle norme sulla conservazione della documentazione amministrativa.</w:t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dati saranno trattati esclusivamente dal personale e dai collaboratori del titolare e potranno essere comunicati ai soggetti espressamente designati come responsabili del trattamento. Al di fuori di queste ipotesi i dati non saranno comunicati a terzi né diffusi, se non nei casi specificamente previsti dal diritto nazionale o dell'Unione europea.</w:t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Gli interessati hanno il diritto di chiedere al titolare del trattamento l'accesso ai dati personali e la rettifica o la cancellazione degli stessi o la limitazione del trattamento che li riguarda o di opporsi al trattamento (artt. 15 e seguenti del RGPD).</w:t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Gli interessati, ricorrendone i presupposti, hanno, altresì, il diritto di proporre reclamo all’Autorità di controllo (Garante Privacy) secondo le procedure previste.</w:t>
      </w:r>
    </w:p>
    <w:p>
      <w:pPr>
        <w:pStyle w:val="Normal"/>
        <w:pBdr/>
        <w:spacing w:before="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before="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Acquaviva Picena, li ......................................................</w:t>
      </w:r>
    </w:p>
    <w:p>
      <w:pPr>
        <w:pStyle w:val="Normal"/>
        <w:pBdr/>
        <w:spacing w:before="0" w:after="120"/>
        <w:ind w:left="6379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</w:t>
      </w:r>
    </w:p>
    <w:p>
      <w:pPr>
        <w:pStyle w:val="Normal"/>
        <w:pBdr/>
        <w:spacing w:before="0" w:after="120"/>
        <w:ind w:left="6379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pBdr/>
        <w:spacing w:before="0" w:after="120"/>
        <w:ind w:left="6379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</w:t>
      </w:r>
    </w:p>
    <w:p>
      <w:pPr>
        <w:pStyle w:val="Normal"/>
        <w:pBdr/>
        <w:spacing w:lineRule="auto" w:line="360"/>
        <w:jc w:val="both"/>
        <w:rPr/>
      </w:pPr>
      <w:r>
        <w:rPr>
          <w:rFonts w:eastAsia="Liberation Serif" w:cs="Liberation Serif" w:ascii="Liberation Serif" w:hAnsi="Liberation Serif"/>
          <w:color w:val="000000"/>
          <w:sz w:val="24"/>
          <w:szCs w:val="24"/>
        </w:rPr>
        <w:t>Si allega documento valido di identità</w:t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851" w:right="851" w:header="539" w:top="851" w:footer="136" w:bottom="851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jc w:val="center"/>
      <w:rPr>
        <w:rFonts w:ascii="Arial" w:hAnsi="Arial" w:eastAsia="Arial" w:cs="Arial"/>
        <w:color w:val="000000"/>
        <w:sz w:val="14"/>
        <w:szCs w:val="14"/>
      </w:rPr>
    </w:pPr>
    <w:r>
      <w:rPr>
        <w:rFonts w:eastAsia="Arial" w:cs="Arial" w:ascii="Arial" w:hAnsi="Arial"/>
        <w:color w:val="000000"/>
        <w:sz w:val="14"/>
        <w:szCs w:val="14"/>
      </w:rPr>
      <mc:AlternateContent>
        <mc:Choice Requires="wps">
          <w:drawing>
            <wp:anchor behindDoc="1" distT="0" distB="0" distL="0" distR="0" simplePos="0" locked="0" layoutInCell="1" allowOverlap="1" relativeHeight="9" wp14:anchorId="252088AA">
              <wp:simplePos x="0" y="0"/>
              <wp:positionH relativeFrom="column">
                <wp:posOffset>-111760</wp:posOffset>
              </wp:positionH>
              <wp:positionV relativeFrom="paragraph">
                <wp:posOffset>83185</wp:posOffset>
              </wp:positionV>
              <wp:extent cx="6350000" cy="1905"/>
              <wp:effectExtent l="0" t="0" r="0" b="0"/>
              <wp:wrapNone/>
              <wp:docPr id="4" name="Connettore 1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932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80808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.85pt,6.55pt" to="491.05pt,6.6pt" ID="Connettore 1 3" stroked="t" style="position:absolute" wp14:anchorId="252088AA">
              <v:stroke color="gray" weight="9360" joinstyle="miter" endcap="flat"/>
              <v:fill o:detectmouseclick="t" on="false"/>
            </v:line>
          </w:pict>
        </mc:Fallback>
      </mc:AlternateContent>
    </w:r>
  </w:p>
  <w:p>
    <w:pPr>
      <w:pStyle w:val="Normal"/>
      <w:pBdr/>
      <w:ind w:left="540" w:right="23" w:hanging="0"/>
      <w:jc w:val="center"/>
      <w:rPr>
        <w:rFonts w:ascii="Arial" w:hAnsi="Arial" w:eastAsia="Arial" w:cs="Arial"/>
        <w:color w:val="000000"/>
        <w:sz w:val="6"/>
        <w:szCs w:val="6"/>
      </w:rPr>
    </w:pPr>
    <w:r>
      <w:rPr>
        <w:rFonts w:eastAsia="Arial" w:cs="Arial" w:ascii="Arial" w:hAnsi="Arial"/>
        <w:b/>
        <w:color w:val="000000"/>
        <w:sz w:val="14"/>
        <w:szCs w:val="14"/>
      </w:rPr>
      <w:t xml:space="preserve"> </w:t>
    </w:r>
  </w:p>
  <w:p>
    <w:pPr>
      <w:pStyle w:val="Normal"/>
      <w:pBdr/>
      <w:rPr>
        <w:color w:val="000000"/>
        <w:sz w:val="24"/>
        <w:szCs w:val="24"/>
      </w:rPr>
    </w:pPr>
    <w:r>
      <w:rPr>
        <w:color w:val="000000"/>
        <w:sz w:val="24"/>
        <w:szCs w:val="2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jc w:val="center"/>
      <w:rPr>
        <w:rFonts w:ascii="Arial" w:hAnsi="Arial" w:eastAsia="Arial" w:cs="Arial"/>
        <w:color w:val="000000"/>
        <w:sz w:val="14"/>
        <w:szCs w:val="14"/>
      </w:rPr>
    </w:pPr>
    <w:r>
      <w:rPr>
        <w:rFonts w:eastAsia="Arial" w:cs="Arial" w:ascii="Arial" w:hAnsi="Arial"/>
        <w:color w:val="000000"/>
        <w:sz w:val="14"/>
        <w:szCs w:val="14"/>
      </w:rPr>
      <mc:AlternateContent>
        <mc:Choice Requires="wps">
          <w:drawing>
            <wp:anchor behindDoc="1" distT="0" distB="0" distL="0" distR="0" simplePos="0" locked="0" layoutInCell="1" allowOverlap="1" relativeHeight="10" wp14:anchorId="73AC98C1">
              <wp:simplePos x="0" y="0"/>
              <wp:positionH relativeFrom="column">
                <wp:posOffset>-111760</wp:posOffset>
              </wp:positionH>
              <wp:positionV relativeFrom="paragraph">
                <wp:posOffset>83185</wp:posOffset>
              </wp:positionV>
              <wp:extent cx="6350000" cy="1905"/>
              <wp:effectExtent l="0" t="0" r="0" b="0"/>
              <wp:wrapNone/>
              <wp:docPr id="5" name="Connettore 1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932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80808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8.85pt,6.55pt" to="491.05pt,6.6pt" ID="Connettore 1 1" stroked="t" style="position:absolute" wp14:anchorId="73AC98C1">
              <v:stroke color="gray" weight="9360" joinstyle="miter" endcap="flat"/>
              <v:fill o:detectmouseclick="t" on="false"/>
            </v:line>
          </w:pict>
        </mc:Fallback>
      </mc:AlternateContent>
    </w:r>
  </w:p>
  <w:p>
    <w:pPr>
      <w:pStyle w:val="Normal"/>
      <w:pBdr/>
      <w:ind w:right="23" w:hanging="0"/>
      <w:rPr>
        <w:rFonts w:ascii="Arial" w:hAnsi="Arial" w:eastAsia="Arial" w:cs="Arial"/>
        <w:color w:val="000000"/>
        <w:sz w:val="12"/>
        <w:szCs w:val="12"/>
      </w:rPr>
    </w:pPr>
    <w:r>
      <w:rPr>
        <w:rFonts w:eastAsia="Arial" w:cs="Arial" w:ascii="Arial" w:hAnsi="Arial"/>
        <w:color w:val="000000"/>
        <w:sz w:val="12"/>
        <w:szCs w:val="12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pBdr/>
        <w:jc w:val="both"/>
        <w:rPr/>
      </w:pPr>
      <w:r>
        <w:rPr>
          <w:rStyle w:val="Caratterinotaapidipagina"/>
        </w:rPr>
        <w:footnoteRef/>
      </w:r>
      <w:r>
        <w:rPr>
          <w:color w:val="000000"/>
        </w:rPr>
        <w:t xml:space="preserve"> </w:t>
      </w:r>
      <w:r>
        <w:rPr>
          <w:color w:val="000000"/>
        </w:rPr>
        <w:t>Secondo il Decreto del Presidente della Repubblica 28 dicembre 2000, n. 445, articolo 35, sono documenti di identità i seguenti: il passaporto, la patente di guida, la patente nautica, il libretto di pensione, il patentino di abilitazione alla conduzione di impianti termici, il porto d'armi, le tessere di riconoscimento, purché munite di fotografia e di timbro o di altra segnatura equivalente, rilasciate da un'amministrazione dello Stato.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true"/>
      <w:numPr>
        <w:ilvl w:val="2"/>
        <w:numId w:val="9"/>
      </w:numPr>
      <w:pBdr/>
      <w:tabs>
        <w:tab w:val="clear" w:pos="720"/>
        <w:tab w:val="left" w:pos="0" w:leader="none"/>
      </w:tabs>
      <w:ind w:right="2438" w:hanging="0"/>
      <w:jc w:val="center"/>
      <w:rPr>
        <w:color w:val="000000"/>
        <w:sz w:val="24"/>
        <w:szCs w:val="24"/>
      </w:rPr>
    </w:pPr>
    <w:r>
      <w:drawing>
        <wp:anchor behindDoc="1" distT="0" distB="0" distL="114300" distR="114300" simplePos="0" locked="0" layoutInCell="1" allowOverlap="1" relativeHeight="15">
          <wp:simplePos x="0" y="0"/>
          <wp:positionH relativeFrom="column">
            <wp:posOffset>-104775</wp:posOffset>
          </wp:positionH>
          <wp:positionV relativeFrom="paragraph">
            <wp:posOffset>-238760</wp:posOffset>
          </wp:positionV>
          <wp:extent cx="769620" cy="819150"/>
          <wp:effectExtent l="0" t="0" r="0" b="0"/>
          <wp:wrapSquare wrapText="bothSides"/>
          <wp:docPr id="1" name="Immagine 13" descr="Acquaviva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3" descr="Acquaviva 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atang"/>
        <w:b/>
        <w:sz w:val="44"/>
        <w:szCs w:val="44"/>
      </w:rPr>
      <w:t>C</w:t>
    </w:r>
    <w:r>
      <w:rPr>
        <w:rFonts w:eastAsia="Batang"/>
        <w:b/>
        <w:sz w:val="44"/>
        <w:szCs w:val="44"/>
      </w:rPr>
      <w:t>omune di Acquaviva Picena</w:t>
    </w:r>
  </w:p>
  <w:p>
    <w:pPr>
      <w:pStyle w:val="Normal"/>
      <w:pBdr/>
      <w:rPr>
        <w:color w:val="000000"/>
        <w:sz w:val="24"/>
        <w:szCs w:val="24"/>
      </w:rPr>
    </w:pPr>
    <w:r>
      <w:rPr>
        <w:b/>
        <w:i/>
        <w:color w:val="000000"/>
        <w:sz w:val="14"/>
        <w:szCs w:val="14"/>
      </w:rPr>
      <w:tab/>
    </w:r>
  </w:p>
  <w:p>
    <w:pPr>
      <w:pStyle w:val="Normal"/>
      <w:pBdr/>
      <w:rPr>
        <w:color w:val="000000"/>
        <w:sz w:val="24"/>
        <w:szCs w:val="24"/>
      </w:rPr>
    </w:pPr>
    <w:r>
      <w:rPr>
        <w:color w:val="000000"/>
        <w:sz w:val="24"/>
        <w:szCs w:val="24"/>
      </w:rPr>
      <mc:AlternateContent>
        <mc:Choice Requires="wps">
          <w:drawing>
            <wp:anchor behindDoc="1" distT="0" distB="0" distL="0" distR="0" simplePos="0" locked="0" layoutInCell="1" allowOverlap="1" relativeHeight="5" wp14:anchorId="7A23EDE0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6172835" cy="635"/>
              <wp:effectExtent l="0" t="4763" r="0" b="4763"/>
              <wp:wrapNone/>
              <wp:docPr id="2" name="Connettore 1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80808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65pt" to="485.95pt,5.65pt" ID="Connettore 1 4" stroked="t" style="position:absolute" wp14:anchorId="7A23EDE0">
              <v:stroke color="gray" weight="9360" joinstyle="miter" endcap="flat"/>
              <v:fill o:detectmouseclick="t" on="false"/>
            </v:lin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right" w:pos="9498" w:leader="none"/>
      </w:tabs>
      <w:rPr>
        <w:rFonts w:ascii="Arial" w:hAnsi="Arial" w:eastAsia="Arial" w:cs="Arial"/>
        <w:color w:val="000000"/>
        <w:sz w:val="12"/>
        <w:szCs w:val="12"/>
      </w:rPr>
    </w:pPr>
    <w:r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-285750</wp:posOffset>
          </wp:positionH>
          <wp:positionV relativeFrom="paragraph">
            <wp:posOffset>-295910</wp:posOffset>
          </wp:positionV>
          <wp:extent cx="769620" cy="819150"/>
          <wp:effectExtent l="0" t="0" r="0" b="0"/>
          <wp:wrapSquare wrapText="bothSides"/>
          <wp:docPr id="3" name="Immagine 12" descr="Acquaviva 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2" descr="Acquaviva 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atang"/>
        <w:b/>
        <w:sz w:val="44"/>
        <w:szCs w:val="44"/>
      </w:rPr>
      <w:t xml:space="preserve"> </w:t>
    </w:r>
    <w:r>
      <w:rPr>
        <w:rFonts w:eastAsia="Batang"/>
        <w:b/>
        <w:sz w:val="44"/>
        <w:szCs w:val="44"/>
      </w:rPr>
      <w:t xml:space="preserve">    </w:t>
    </w:r>
    <w:r>
      <w:rPr>
        <w:rFonts w:eastAsia="Batang"/>
        <w:b/>
        <w:sz w:val="44"/>
        <w:szCs w:val="44"/>
      </w:rPr>
      <w:t>Comune di Acquaviva Picena</w:t>
    </w:r>
    <w:r>
      <w:rPr>
        <w:rFonts w:eastAsia="Arial" w:cs="Arial" w:ascii="Arial" w:hAnsi="Arial"/>
        <w:color w:val="000000"/>
        <w:sz w:val="12"/>
        <w:szCs w:val="12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bullet"/>
      <w:lvlText w:val="-"/>
      <w:lvlJc w:val="left"/>
      <w:pPr>
        <w:ind w:left="360" w:hanging="360"/>
      </w:pPr>
      <w:rPr>
        <w:rFonts w:ascii="Liberation Serif" w:hAnsi="Liberation Serif" w:cs="Liberation Serif" w:hint="default"/>
        <w:vertAlign w:val="baseline"/>
        <w:position w:val="0"/>
        <w:sz w:val="24"/>
        <w:sz w:val="24"/>
        <w:rFonts w:cs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3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4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5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6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7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hAnsi="Noto Sans Symbols" w:cs="Noto Sans Symbols" w:hint="default"/>
        <w:vertAlign w:val="baseline"/>
        <w:position w:val="0"/>
        <w:sz w:val="24"/>
        <w:sz w:val="24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8">
    <w:lvl w:ilvl="0">
      <w:start w:val="2"/>
      <w:numFmt w:val="bullet"/>
      <w:lvlText w:val="-"/>
      <w:lvlJc w:val="left"/>
      <w:pPr>
        <w:ind w:left="360" w:hanging="360"/>
      </w:pPr>
      <w:rPr>
        <w:rFonts w:ascii="Liberation Serif" w:hAnsi="Liberation Serif" w:cs="Liberation Serif" w:hint="default"/>
        <w:vertAlign w:val="baseline"/>
        <w:position w:val="0"/>
        <w:sz w:val="24"/>
        <w:sz w:val="24"/>
        <w:rFonts w:cs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4"/>
        <w:sz w:val="24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vertAlign w:val="baseline"/>
        <w:position w:val="0"/>
        <w:sz w:val="20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c470fc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c470fc"/>
    <w:rPr/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470f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470fc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LibreOffice/6.3.0.4$Windows_X86_64 LibreOffice_project/057fc023c990d676a43019934386b85b21a9ee99</Application>
  <Pages>8</Pages>
  <Words>1214</Words>
  <Characters>7105</Characters>
  <CharactersWithSpaces>8185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2020-04-02T15:53:00Z</dcterms:created>
  <dc:creator>Pierpaolo</dc:creator>
  <dc:description/>
  <dc:language>it-IT</dc:language>
  <cp:lastModifiedBy>anagrafe acquaviva</cp:lastModifiedBy>
  <dcterms:modified xsi:type="dcterms:W3CDTF">2020-04-02T15:53:00Z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